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1538" w14:textId="77777777" w:rsidR="00F85CB1" w:rsidRPr="00F85CB1" w:rsidRDefault="00F85CB1" w:rsidP="00F85CB1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color w:val="333333"/>
          <w:sz w:val="28"/>
          <w:szCs w:val="28"/>
          <w:u w:val="single"/>
          <w:lang w:eastAsia="cs-CZ"/>
        </w:rPr>
      </w:pPr>
      <w:r w:rsidRPr="00F85CB1">
        <w:rPr>
          <w:rFonts w:eastAsia="Times New Roman" w:cstheme="minorHAnsi"/>
          <w:b/>
          <w:color w:val="333333"/>
          <w:sz w:val="28"/>
          <w:szCs w:val="28"/>
          <w:u w:val="single"/>
          <w:lang w:eastAsia="cs-CZ"/>
        </w:rPr>
        <w:t>Zaměstnanecké benefity</w:t>
      </w:r>
    </w:p>
    <w:p w14:paraId="048149EA" w14:textId="77777777" w:rsidR="009E35CF" w:rsidRDefault="009E35CF" w:rsidP="009E35CF">
      <w:pPr>
        <w:pStyle w:val="Nadpis2"/>
        <w:rPr>
          <w:rFonts w:ascii="Arial" w:hAnsi="Arial" w:cs="Arial"/>
          <w:color w:val="2E3D6B"/>
        </w:rPr>
      </w:pPr>
      <w:r>
        <w:rPr>
          <w:rFonts w:ascii="Arial" w:hAnsi="Arial" w:cs="Arial"/>
          <w:color w:val="2E3D6B"/>
        </w:rPr>
        <w:t>Zaměstnanecké benefity</w:t>
      </w:r>
    </w:p>
    <w:p w14:paraId="6EFD3C5E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nadstandardní platové ohodnocení</w:t>
      </w:r>
    </w:p>
    <w:p w14:paraId="0401E25B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jistota stabilního zaměstnání</w:t>
      </w:r>
    </w:p>
    <w:p w14:paraId="57556871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vysoký potenciál odborného růstu</w:t>
      </w:r>
    </w:p>
    <w:p w14:paraId="0294976A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5 týdnů dovolené</w:t>
      </w:r>
    </w:p>
    <w:p w14:paraId="19816140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možnost zkráceného úvazku</w:t>
      </w:r>
    </w:p>
    <w:p w14:paraId="137CA062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příspěvek na stravování zaměstnanců</w:t>
      </w:r>
    </w:p>
    <w:p w14:paraId="2F2188B3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ubytování (ubytovny FN Plzeň, služební byty)</w:t>
      </w:r>
    </w:p>
    <w:p w14:paraId="3485FE3D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příspěvek na penzijní připojištění</w:t>
      </w:r>
    </w:p>
    <w:p w14:paraId="13774161" w14:textId="77777777" w:rsidR="009E35CF" w:rsidRDefault="009E35CF" w:rsidP="009E35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43A40"/>
          <w:sz w:val="27"/>
          <w:szCs w:val="27"/>
        </w:rPr>
      </w:pPr>
      <w:r>
        <w:rPr>
          <w:rStyle w:val="Siln"/>
          <w:rFonts w:ascii="Arial" w:hAnsi="Arial" w:cs="Arial"/>
          <w:color w:val="343A40"/>
          <w:sz w:val="27"/>
          <w:szCs w:val="27"/>
          <w:bdr w:val="single" w:sz="2" w:space="0" w:color="auto" w:frame="1"/>
        </w:rPr>
        <w:t>slevy u smluvních partnerů na vybrané služby – kultura, ubytování, masáže, fitness, kosmetika, optika aj.</w:t>
      </w:r>
    </w:p>
    <w:p w14:paraId="68ACBCF7" w14:textId="77777777" w:rsidR="005D1A06" w:rsidRPr="00F85CB1" w:rsidRDefault="005D1A06" w:rsidP="009E35CF">
      <w:pPr>
        <w:rPr>
          <w:rFonts w:cstheme="minorHAnsi"/>
          <w:sz w:val="28"/>
          <w:szCs w:val="28"/>
        </w:rPr>
      </w:pPr>
    </w:p>
    <w:sectPr w:rsidR="005D1A06" w:rsidRPr="00F8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5860"/>
    <w:multiLevelType w:val="hybridMultilevel"/>
    <w:tmpl w:val="AF54D7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C4A69"/>
    <w:multiLevelType w:val="multilevel"/>
    <w:tmpl w:val="EA2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FC766D"/>
    <w:multiLevelType w:val="multilevel"/>
    <w:tmpl w:val="1FE6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B1"/>
    <w:rsid w:val="005D1A06"/>
    <w:rsid w:val="009E35CF"/>
    <w:rsid w:val="00F8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E368"/>
  <w15:chartTrackingRefBased/>
  <w15:docId w15:val="{1C957BC0-1D14-4E0B-B2B5-6C059D8A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85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85C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5CB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E35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9E3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4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9853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Plzakova Marketa</dc:creator>
  <cp:keywords/>
  <dc:description/>
  <cp:lastModifiedBy>Plzakova Marketa</cp:lastModifiedBy>
  <cp:revision>3</cp:revision>
  <cp:lastPrinted>2022-10-12T09:59:00Z</cp:lastPrinted>
  <dcterms:created xsi:type="dcterms:W3CDTF">2022-10-12T09:56:00Z</dcterms:created>
  <dcterms:modified xsi:type="dcterms:W3CDTF">2025-08-13T10:13:00Z</dcterms:modified>
</cp:coreProperties>
</file>